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5D" w:rsidRPr="004F465D" w:rsidRDefault="004F465D" w:rsidP="004F465D">
      <w:pPr>
        <w:spacing w:before="240" w:after="0" w:line="240" w:lineRule="auto"/>
        <w:ind w:left="240" w:right="240"/>
        <w:outlineLvl w:val="1"/>
        <w:rPr>
          <w:rFonts w:ascii="Arial" w:eastAsia="Times New Roman" w:hAnsi="Arial" w:cs="Arial"/>
          <w:b/>
          <w:bCs/>
          <w:color w:val="536074"/>
          <w:sz w:val="25"/>
          <w:szCs w:val="25"/>
          <w:lang w:eastAsia="en-GB"/>
        </w:rPr>
      </w:pPr>
      <w:r w:rsidRPr="004F465D">
        <w:rPr>
          <w:rFonts w:ascii="Arial" w:eastAsia="Times New Roman" w:hAnsi="Arial" w:cs="Arial"/>
          <w:b/>
          <w:bCs/>
          <w:color w:val="536074"/>
          <w:sz w:val="25"/>
          <w:szCs w:val="25"/>
          <w:lang w:eastAsia="en-GB"/>
        </w:rPr>
        <w:t xml:space="preserve">DECRETO-LEGGE 23 </w:t>
      </w:r>
      <w:proofErr w:type="spellStart"/>
      <w:r w:rsidRPr="004F465D">
        <w:rPr>
          <w:rFonts w:ascii="Arial" w:eastAsia="Times New Roman" w:hAnsi="Arial" w:cs="Arial"/>
          <w:b/>
          <w:bCs/>
          <w:color w:val="536074"/>
          <w:sz w:val="25"/>
          <w:szCs w:val="25"/>
          <w:lang w:eastAsia="en-GB"/>
        </w:rPr>
        <w:t>dicembre</w:t>
      </w:r>
      <w:proofErr w:type="spellEnd"/>
      <w:r w:rsidRPr="004F465D">
        <w:rPr>
          <w:rFonts w:ascii="Arial" w:eastAsia="Times New Roman" w:hAnsi="Arial" w:cs="Arial"/>
          <w:b/>
          <w:bCs/>
          <w:color w:val="536074"/>
          <w:sz w:val="25"/>
          <w:szCs w:val="25"/>
          <w:lang w:eastAsia="en-GB"/>
        </w:rPr>
        <w:t xml:space="preserve"> 2013, n. 145 </w:t>
      </w:r>
    </w:p>
    <w:p w:rsidR="004F465D" w:rsidRPr="004F465D" w:rsidRDefault="004F465D" w:rsidP="004F465D">
      <w:pPr>
        <w:pBdr>
          <w:bottom w:val="single" w:sz="6" w:space="7" w:color="CCCCCC"/>
        </w:pBdr>
        <w:spacing w:after="48" w:line="312" w:lineRule="atLeast"/>
        <w:outlineLvl w:val="2"/>
        <w:rPr>
          <w:rFonts w:ascii="Arial" w:eastAsia="Times New Roman" w:hAnsi="Arial" w:cs="Arial"/>
          <w:color w:val="444444"/>
          <w:sz w:val="23"/>
          <w:szCs w:val="23"/>
          <w:lang w:eastAsia="en-GB"/>
        </w:rPr>
      </w:pPr>
      <w:proofErr w:type="spellStart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>Interventi</w:t>
      </w:r>
      <w:proofErr w:type="spellEnd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 xml:space="preserve"> </w:t>
      </w:r>
      <w:proofErr w:type="spellStart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>urgenti</w:t>
      </w:r>
      <w:proofErr w:type="spellEnd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 xml:space="preserve"> di </w:t>
      </w:r>
      <w:proofErr w:type="spellStart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>avvio</w:t>
      </w:r>
      <w:proofErr w:type="spellEnd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 xml:space="preserve"> </w:t>
      </w:r>
      <w:proofErr w:type="gramStart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>del</w:t>
      </w:r>
      <w:proofErr w:type="gramEnd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 xml:space="preserve"> piano "</w:t>
      </w:r>
      <w:proofErr w:type="spellStart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>Destinazione</w:t>
      </w:r>
      <w:proofErr w:type="spellEnd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 xml:space="preserve"> Italia", per </w:t>
      </w:r>
      <w:proofErr w:type="spellStart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>il</w:t>
      </w:r>
      <w:proofErr w:type="spellEnd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 xml:space="preserve"> </w:t>
      </w:r>
      <w:proofErr w:type="spellStart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>contenimento</w:t>
      </w:r>
      <w:proofErr w:type="spellEnd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 xml:space="preserve"> </w:t>
      </w:r>
      <w:proofErr w:type="spellStart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>delle</w:t>
      </w:r>
      <w:proofErr w:type="spellEnd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 xml:space="preserve"> </w:t>
      </w:r>
      <w:proofErr w:type="spellStart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>tariffe</w:t>
      </w:r>
      <w:proofErr w:type="spellEnd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 xml:space="preserve"> </w:t>
      </w:r>
      <w:proofErr w:type="spellStart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>elettriche</w:t>
      </w:r>
      <w:proofErr w:type="spellEnd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 xml:space="preserve"> e del gas, per la </w:t>
      </w:r>
      <w:proofErr w:type="spellStart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>riduzione</w:t>
      </w:r>
      <w:proofErr w:type="spellEnd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 xml:space="preserve"> </w:t>
      </w:r>
      <w:proofErr w:type="spellStart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>dei</w:t>
      </w:r>
      <w:proofErr w:type="spellEnd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 xml:space="preserve"> </w:t>
      </w:r>
      <w:proofErr w:type="spellStart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>premi</w:t>
      </w:r>
      <w:proofErr w:type="spellEnd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 xml:space="preserve"> RC-auto, per </w:t>
      </w:r>
      <w:proofErr w:type="spellStart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>l'internazionalizzazione</w:t>
      </w:r>
      <w:proofErr w:type="spellEnd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 xml:space="preserve">, lo </w:t>
      </w:r>
      <w:proofErr w:type="spellStart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>sviluppo</w:t>
      </w:r>
      <w:proofErr w:type="spellEnd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 xml:space="preserve"> e la </w:t>
      </w:r>
      <w:proofErr w:type="spellStart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>digitalizzazione</w:t>
      </w:r>
      <w:proofErr w:type="spellEnd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 xml:space="preserve"> </w:t>
      </w:r>
      <w:proofErr w:type="spellStart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>delle</w:t>
      </w:r>
      <w:proofErr w:type="spellEnd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 xml:space="preserve"> </w:t>
      </w:r>
      <w:proofErr w:type="spellStart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>imprese</w:t>
      </w:r>
      <w:proofErr w:type="spellEnd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 xml:space="preserve">, </w:t>
      </w:r>
      <w:proofErr w:type="spellStart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>nonche</w:t>
      </w:r>
      <w:proofErr w:type="spellEnd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 xml:space="preserve">' </w:t>
      </w:r>
      <w:proofErr w:type="spellStart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>misure</w:t>
      </w:r>
      <w:proofErr w:type="spellEnd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 xml:space="preserve"> per la </w:t>
      </w:r>
      <w:proofErr w:type="spellStart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>realizzazione</w:t>
      </w:r>
      <w:proofErr w:type="spellEnd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 xml:space="preserve"> di </w:t>
      </w:r>
      <w:proofErr w:type="spellStart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>opere</w:t>
      </w:r>
      <w:proofErr w:type="spellEnd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 xml:space="preserve"> </w:t>
      </w:r>
      <w:proofErr w:type="spellStart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>pubbliche</w:t>
      </w:r>
      <w:proofErr w:type="spellEnd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 xml:space="preserve"> </w:t>
      </w:r>
      <w:proofErr w:type="spellStart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>ed</w:t>
      </w:r>
      <w:proofErr w:type="spellEnd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 xml:space="preserve"> EXPO 2015. (13G00189) </w:t>
      </w:r>
      <w:r w:rsidRPr="004F465D">
        <w:rPr>
          <w:rFonts w:ascii="Arial" w:eastAsia="Times New Roman" w:hAnsi="Arial" w:cs="Arial"/>
          <w:color w:val="4A970B"/>
          <w:sz w:val="23"/>
          <w:szCs w:val="23"/>
          <w:lang w:eastAsia="en-GB"/>
        </w:rPr>
        <w:t>(</w:t>
      </w:r>
      <w:r w:rsidRPr="00752D0E">
        <w:rPr>
          <w:rFonts w:ascii="Arial" w:eastAsia="Times New Roman" w:hAnsi="Arial" w:cs="Arial"/>
          <w:color w:val="4A970B"/>
          <w:sz w:val="23"/>
          <w:szCs w:val="23"/>
          <w:highlight w:val="yellow"/>
          <w:lang w:eastAsia="en-GB"/>
        </w:rPr>
        <w:t>GU</w:t>
      </w:r>
      <w:r w:rsidRPr="004F465D">
        <w:rPr>
          <w:rFonts w:ascii="Arial" w:eastAsia="Times New Roman" w:hAnsi="Arial" w:cs="Arial"/>
          <w:color w:val="4A970B"/>
          <w:sz w:val="23"/>
          <w:szCs w:val="23"/>
          <w:lang w:eastAsia="en-GB"/>
        </w:rPr>
        <w:t xml:space="preserve"> </w:t>
      </w:r>
      <w:proofErr w:type="spellStart"/>
      <w:r w:rsidRPr="004F465D">
        <w:rPr>
          <w:rFonts w:ascii="Arial" w:eastAsia="Times New Roman" w:hAnsi="Arial" w:cs="Arial"/>
          <w:color w:val="4A970B"/>
          <w:sz w:val="23"/>
          <w:szCs w:val="23"/>
          <w:lang w:eastAsia="en-GB"/>
        </w:rPr>
        <w:t>Serie</w:t>
      </w:r>
      <w:proofErr w:type="spellEnd"/>
      <w:r w:rsidRPr="004F465D">
        <w:rPr>
          <w:rFonts w:ascii="Arial" w:eastAsia="Times New Roman" w:hAnsi="Arial" w:cs="Arial"/>
          <w:color w:val="4A970B"/>
          <w:sz w:val="23"/>
          <w:szCs w:val="23"/>
          <w:lang w:eastAsia="en-GB"/>
        </w:rPr>
        <w:t xml:space="preserve"> </w:t>
      </w:r>
      <w:proofErr w:type="spellStart"/>
      <w:r w:rsidRPr="004F465D">
        <w:rPr>
          <w:rFonts w:ascii="Arial" w:eastAsia="Times New Roman" w:hAnsi="Arial" w:cs="Arial"/>
          <w:color w:val="4A970B"/>
          <w:sz w:val="23"/>
          <w:szCs w:val="23"/>
          <w:lang w:eastAsia="en-GB"/>
        </w:rPr>
        <w:t>Generale</w:t>
      </w:r>
      <w:proofErr w:type="spellEnd"/>
      <w:r w:rsidRPr="004F465D">
        <w:rPr>
          <w:rFonts w:ascii="Arial" w:eastAsia="Times New Roman" w:hAnsi="Arial" w:cs="Arial"/>
          <w:color w:val="4A970B"/>
          <w:sz w:val="23"/>
          <w:szCs w:val="23"/>
          <w:lang w:eastAsia="en-GB"/>
        </w:rPr>
        <w:t xml:space="preserve"> n.300 </w:t>
      </w:r>
      <w:proofErr w:type="gramStart"/>
      <w:r w:rsidRPr="00752D0E">
        <w:rPr>
          <w:rFonts w:ascii="Arial" w:eastAsia="Times New Roman" w:hAnsi="Arial" w:cs="Arial"/>
          <w:color w:val="4A970B"/>
          <w:sz w:val="23"/>
          <w:szCs w:val="23"/>
          <w:highlight w:val="yellow"/>
          <w:lang w:eastAsia="en-GB"/>
        </w:rPr>
        <w:t>del</w:t>
      </w:r>
      <w:proofErr w:type="gramEnd"/>
      <w:r w:rsidRPr="00752D0E">
        <w:rPr>
          <w:rFonts w:ascii="Arial" w:eastAsia="Times New Roman" w:hAnsi="Arial" w:cs="Arial"/>
          <w:color w:val="4A970B"/>
          <w:sz w:val="23"/>
          <w:szCs w:val="23"/>
          <w:highlight w:val="yellow"/>
          <w:lang w:eastAsia="en-GB"/>
        </w:rPr>
        <w:t xml:space="preserve"> 23-12-2013</w:t>
      </w:r>
      <w:r w:rsidRPr="004F465D">
        <w:rPr>
          <w:rFonts w:ascii="Arial" w:eastAsia="Times New Roman" w:hAnsi="Arial" w:cs="Arial"/>
          <w:color w:val="4A970B"/>
          <w:sz w:val="23"/>
          <w:szCs w:val="23"/>
          <w:lang w:eastAsia="en-GB"/>
        </w:rPr>
        <w:t xml:space="preserve">) </w:t>
      </w:r>
    </w:p>
    <w:p w:rsidR="004F465D" w:rsidRPr="004F465D" w:rsidRDefault="004F465D" w:rsidP="004F465D">
      <w:pPr>
        <w:spacing w:before="100" w:beforeAutospacing="1" w:after="120" w:line="288" w:lineRule="atLeast"/>
        <w:outlineLvl w:val="3"/>
        <w:rPr>
          <w:rFonts w:ascii="Arial" w:eastAsia="Times New Roman" w:hAnsi="Arial" w:cs="Arial"/>
          <w:color w:val="444444"/>
          <w:sz w:val="23"/>
          <w:szCs w:val="23"/>
          <w:lang w:eastAsia="en-GB"/>
        </w:rPr>
      </w:pPr>
      <w:proofErr w:type="gramStart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>note</w:t>
      </w:r>
      <w:proofErr w:type="gramEnd"/>
      <w:r w:rsidRPr="004F465D">
        <w:rPr>
          <w:rFonts w:ascii="Arial" w:eastAsia="Times New Roman" w:hAnsi="Arial" w:cs="Arial"/>
          <w:color w:val="444444"/>
          <w:sz w:val="23"/>
          <w:szCs w:val="23"/>
          <w:lang w:eastAsia="en-GB"/>
        </w:rPr>
        <w:t>:</w:t>
      </w:r>
      <w:r w:rsidRPr="004F465D">
        <w:rPr>
          <w:rFonts w:ascii="Arial" w:eastAsia="Times New Roman" w:hAnsi="Arial" w:cs="Arial"/>
          <w:color w:val="FF0000"/>
          <w:sz w:val="23"/>
          <w:szCs w:val="23"/>
          <w:lang w:eastAsia="en-GB"/>
        </w:rPr>
        <w:t xml:space="preserve"> </w:t>
      </w:r>
      <w:proofErr w:type="spellStart"/>
      <w:r w:rsidRPr="00752D0E">
        <w:rPr>
          <w:rFonts w:ascii="Arial" w:eastAsia="Times New Roman" w:hAnsi="Arial" w:cs="Arial"/>
          <w:color w:val="FF0000"/>
          <w:sz w:val="23"/>
          <w:szCs w:val="23"/>
          <w:highlight w:val="yellow"/>
          <w:lang w:eastAsia="en-GB"/>
        </w:rPr>
        <w:t>Entrata</w:t>
      </w:r>
      <w:proofErr w:type="spellEnd"/>
      <w:r w:rsidRPr="00752D0E">
        <w:rPr>
          <w:rFonts w:ascii="Arial" w:eastAsia="Times New Roman" w:hAnsi="Arial" w:cs="Arial"/>
          <w:color w:val="FF0000"/>
          <w:sz w:val="23"/>
          <w:szCs w:val="23"/>
          <w:highlight w:val="yellow"/>
          <w:lang w:eastAsia="en-GB"/>
        </w:rPr>
        <w:t xml:space="preserve"> in </w:t>
      </w:r>
      <w:proofErr w:type="spellStart"/>
      <w:r w:rsidRPr="00752D0E">
        <w:rPr>
          <w:rFonts w:ascii="Arial" w:eastAsia="Times New Roman" w:hAnsi="Arial" w:cs="Arial"/>
          <w:color w:val="FF0000"/>
          <w:sz w:val="23"/>
          <w:szCs w:val="23"/>
          <w:highlight w:val="yellow"/>
          <w:lang w:eastAsia="en-GB"/>
        </w:rPr>
        <w:t>vigore</w:t>
      </w:r>
      <w:proofErr w:type="spellEnd"/>
      <w:r w:rsidRPr="00752D0E">
        <w:rPr>
          <w:rFonts w:ascii="Arial" w:eastAsia="Times New Roman" w:hAnsi="Arial" w:cs="Arial"/>
          <w:color w:val="FF0000"/>
          <w:sz w:val="23"/>
          <w:szCs w:val="23"/>
          <w:highlight w:val="yellow"/>
          <w:lang w:eastAsia="en-GB"/>
        </w:rPr>
        <w:t xml:space="preserve"> del </w:t>
      </w:r>
      <w:proofErr w:type="spellStart"/>
      <w:r w:rsidRPr="00752D0E">
        <w:rPr>
          <w:rFonts w:ascii="Arial" w:eastAsia="Times New Roman" w:hAnsi="Arial" w:cs="Arial"/>
          <w:color w:val="FF0000"/>
          <w:sz w:val="23"/>
          <w:szCs w:val="23"/>
          <w:highlight w:val="yellow"/>
          <w:lang w:eastAsia="en-GB"/>
        </w:rPr>
        <w:t>provvedimento</w:t>
      </w:r>
      <w:proofErr w:type="spellEnd"/>
      <w:r w:rsidRPr="00752D0E">
        <w:rPr>
          <w:rFonts w:ascii="Arial" w:eastAsia="Times New Roman" w:hAnsi="Arial" w:cs="Arial"/>
          <w:color w:val="FF0000"/>
          <w:sz w:val="23"/>
          <w:szCs w:val="23"/>
          <w:highlight w:val="yellow"/>
          <w:lang w:eastAsia="en-GB"/>
        </w:rPr>
        <w:t>: 24/12/2013</w:t>
      </w:r>
      <w:r w:rsidRPr="004F465D">
        <w:rPr>
          <w:rFonts w:ascii="Arial" w:eastAsia="Times New Roman" w:hAnsi="Arial" w:cs="Arial"/>
          <w:color w:val="FF0000"/>
          <w:sz w:val="23"/>
          <w:szCs w:val="23"/>
          <w:lang w:eastAsia="en-GB"/>
        </w:rPr>
        <w:br/>
      </w:r>
      <w:proofErr w:type="spellStart"/>
      <w:r w:rsidRPr="004F465D">
        <w:rPr>
          <w:rFonts w:ascii="Arial" w:eastAsia="Times New Roman" w:hAnsi="Arial" w:cs="Arial"/>
          <w:color w:val="FF0000"/>
          <w:sz w:val="23"/>
          <w:szCs w:val="23"/>
          <w:lang w:eastAsia="en-GB"/>
        </w:rPr>
        <w:t>Decreto-Legge</w:t>
      </w:r>
      <w:proofErr w:type="spellEnd"/>
      <w:r w:rsidRPr="004F465D">
        <w:rPr>
          <w:rFonts w:ascii="Arial" w:eastAsia="Times New Roman" w:hAnsi="Arial" w:cs="Arial"/>
          <w:color w:val="FF0000"/>
          <w:sz w:val="23"/>
          <w:szCs w:val="23"/>
          <w:lang w:eastAsia="en-GB"/>
        </w:rPr>
        <w:t xml:space="preserve"> </w:t>
      </w:r>
      <w:proofErr w:type="spellStart"/>
      <w:r w:rsidRPr="004F465D">
        <w:rPr>
          <w:rFonts w:ascii="Arial" w:eastAsia="Times New Roman" w:hAnsi="Arial" w:cs="Arial"/>
          <w:color w:val="FF0000"/>
          <w:sz w:val="23"/>
          <w:szCs w:val="23"/>
          <w:lang w:eastAsia="en-GB"/>
        </w:rPr>
        <w:t>convertito</w:t>
      </w:r>
      <w:proofErr w:type="spellEnd"/>
      <w:r w:rsidRPr="004F465D">
        <w:rPr>
          <w:rFonts w:ascii="Arial" w:eastAsia="Times New Roman" w:hAnsi="Arial" w:cs="Arial"/>
          <w:color w:val="FF0000"/>
          <w:sz w:val="23"/>
          <w:szCs w:val="23"/>
          <w:lang w:eastAsia="en-GB"/>
        </w:rPr>
        <w:t xml:space="preserve"> con </w:t>
      </w:r>
      <w:proofErr w:type="spellStart"/>
      <w:r w:rsidRPr="004F465D">
        <w:rPr>
          <w:rFonts w:ascii="Arial" w:eastAsia="Times New Roman" w:hAnsi="Arial" w:cs="Arial"/>
          <w:color w:val="FF0000"/>
          <w:sz w:val="23"/>
          <w:szCs w:val="23"/>
          <w:lang w:eastAsia="en-GB"/>
        </w:rPr>
        <w:t>modificazioni</w:t>
      </w:r>
      <w:proofErr w:type="spellEnd"/>
      <w:r w:rsidRPr="004F465D">
        <w:rPr>
          <w:rFonts w:ascii="Arial" w:eastAsia="Times New Roman" w:hAnsi="Arial" w:cs="Arial"/>
          <w:color w:val="FF0000"/>
          <w:sz w:val="23"/>
          <w:szCs w:val="23"/>
          <w:lang w:eastAsia="en-GB"/>
        </w:rPr>
        <w:t xml:space="preserve"> </w:t>
      </w:r>
      <w:proofErr w:type="spellStart"/>
      <w:r w:rsidRPr="004F465D">
        <w:rPr>
          <w:rFonts w:ascii="Arial" w:eastAsia="Times New Roman" w:hAnsi="Arial" w:cs="Arial"/>
          <w:color w:val="FF0000"/>
          <w:sz w:val="23"/>
          <w:szCs w:val="23"/>
          <w:lang w:eastAsia="en-GB"/>
        </w:rPr>
        <w:t>dalla</w:t>
      </w:r>
      <w:proofErr w:type="spellEnd"/>
      <w:r w:rsidRPr="004F465D">
        <w:rPr>
          <w:rFonts w:ascii="Arial" w:eastAsia="Times New Roman" w:hAnsi="Arial" w:cs="Arial"/>
          <w:color w:val="FF0000"/>
          <w:sz w:val="23"/>
          <w:szCs w:val="23"/>
          <w:lang w:eastAsia="en-GB"/>
        </w:rPr>
        <w:t xml:space="preserve"> L. 21 </w:t>
      </w:r>
      <w:proofErr w:type="spellStart"/>
      <w:r w:rsidRPr="004F465D">
        <w:rPr>
          <w:rFonts w:ascii="Arial" w:eastAsia="Times New Roman" w:hAnsi="Arial" w:cs="Arial"/>
          <w:color w:val="FF0000"/>
          <w:sz w:val="23"/>
          <w:szCs w:val="23"/>
          <w:lang w:eastAsia="en-GB"/>
        </w:rPr>
        <w:t>febbraio</w:t>
      </w:r>
      <w:proofErr w:type="spellEnd"/>
      <w:r w:rsidRPr="004F465D">
        <w:rPr>
          <w:rFonts w:ascii="Arial" w:eastAsia="Times New Roman" w:hAnsi="Arial" w:cs="Arial"/>
          <w:color w:val="FF0000"/>
          <w:sz w:val="23"/>
          <w:szCs w:val="23"/>
          <w:lang w:eastAsia="en-GB"/>
        </w:rPr>
        <w:t xml:space="preserve"> 2014, n. 9 (in G.U. 21/2/2014, n. 43). </w:t>
      </w:r>
    </w:p>
    <w:p w:rsidR="00676149" w:rsidRDefault="00162D73"/>
    <w:p w:rsidR="00162D73" w:rsidRPr="00162D73" w:rsidRDefault="00162D73">
      <w:pPr>
        <w:rPr>
          <w:b/>
          <w:color w:val="FF0000"/>
        </w:rPr>
      </w:pPr>
      <w:r>
        <w:rPr>
          <w:b/>
          <w:color w:val="FF0000"/>
          <w:highlight w:val="yellow"/>
        </w:rPr>
        <w:t>[</w:t>
      </w:r>
      <w:proofErr w:type="spellStart"/>
      <w:r>
        <w:rPr>
          <w:b/>
          <w:color w:val="FF0000"/>
          <w:highlight w:val="yellow"/>
        </w:rPr>
        <w:t>obs</w:t>
      </w:r>
      <w:proofErr w:type="spellEnd"/>
      <w:r>
        <w:rPr>
          <w:b/>
          <w:color w:val="FF0000"/>
          <w:highlight w:val="yellow"/>
        </w:rPr>
        <w:t xml:space="preserve">: </w:t>
      </w:r>
      <w:bookmarkStart w:id="0" w:name="_GoBack"/>
      <w:bookmarkEnd w:id="0"/>
      <w:r w:rsidRPr="00162D73">
        <w:rPr>
          <w:b/>
          <w:color w:val="FF0000"/>
          <w:highlight w:val="yellow"/>
        </w:rPr>
        <w:t xml:space="preserve">See </w:t>
      </w:r>
      <w:proofErr w:type="spellStart"/>
      <w:r w:rsidRPr="00162D73">
        <w:rPr>
          <w:b/>
          <w:color w:val="FF0000"/>
          <w:highlight w:val="yellow"/>
        </w:rPr>
        <w:t>articolo</w:t>
      </w:r>
      <w:proofErr w:type="spellEnd"/>
      <w:r w:rsidRPr="00162D73">
        <w:rPr>
          <w:b/>
          <w:color w:val="FF0000"/>
          <w:highlight w:val="yellow"/>
        </w:rPr>
        <w:t xml:space="preserve"> 1, comma 15</w:t>
      </w:r>
      <w:r>
        <w:rPr>
          <w:b/>
          <w:color w:val="FF0000"/>
        </w:rPr>
        <w:t>]</w:t>
      </w:r>
    </w:p>
    <w:p w:rsidR="00162D73" w:rsidRDefault="00162D73"/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IL PRESIDENTE DELLA REPUBBLICA 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 Visti gli articoli 77 e 87 della Costituzione; 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 Ritenuta la straordinaria necessita' ed urgenza di  emanare  misure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per l'avvio del piano  «Destinazione  Italia»,  per  il  contenimento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delle tariffe elettriche e  del  gas,  per  la  riduzione  dei  premi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rc-auto,   per   l'internazionalizzazione,   lo   sviluppo    e    la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digitalizzazione delle imprese, nonche' misure per  la  realizzazione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di  opere  pubbliche,  quali  fattori  essenziali  di   progresso   e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opportunita' di arricchimento economico, culturale e  civile  e,  nel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contempo, di rilancio della competitivita' delle imprese; 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 Vista la deliberazione del Consiglio dei ministri,  adottata  nella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riunione del 13 dicembre 2013; 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 Sulla proposta del  Presidente  del  Consiglio  dei  ministri,  del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Vicepresidente  del  Consiglio  dei  ministri,  del  Ministro   dello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sviluppo economico, del Ministro delle infrastrutture e dei trasporti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e del Ministro degli affari  esteri,  di  concerto  con  il  Ministro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dell'economia e delle finanze; 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                             E m a n a 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                    il seguente decreto-legge: 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lastRenderedPageBreak/>
        <w:t xml:space="preserve"> 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                              Art. 1 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Disposizioni per  la  riduzione  dei  costi  gravanti  sulle  tariffe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 elettriche, per gli indirizzi strategici  dell'energia  geotermica,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 in  materia  di  certificazione  energetica  degli  edifici  e   di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 condominio, e per lo  sviluppo  di  tecnologie  di  maggior  tutela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 ambientale 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 1. L'Autorita' per l'energia elettrica e il gas aggiorna  entro  90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giorni dalla data di entrata in vigore del presente decreto i criteri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per la determinazione dei prezzi  di  riferimento  per  le  forniture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destinate ai clienti finali non riforniti sul mercato libero, tenendo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conto delle mutazioni intervenute nell'effettivo andamento orario dei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prezzi dell'energia elettrica sul mercato. 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 2. A decorrere dal 1° gennaio  2014,  i  prezzi  minimi  garantiti,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definiti dall'Autorita' per l'energia elettrica  e  il  gas  ai  fini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dell'applicazione  dell'articolo  13,  commi  3  e  4,  del   decreto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legislativo 29 dicembre 2003, n. 387, e dell'articolo  1,  comma  41,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della legge 23 agosto 2004, n. 239, sono pari, per ciascun  impianto,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al prezzo zonale orario  nel  caso  in  cui  l'energia  ritirata  sia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prodotta da impianti che accedono a  incentivazioni  a  carico  delle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tariffe elettriche sull'energia prodotta. 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 3. Al fine di contenere l'onere annuo sui prezzi  e  sulle  tariffe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elettriche degli incentivi alle energie  rinnovabili  e  massimizzare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l'apporto  produttivo  nel  medio-lungo   termine   dagli   esistenti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impianti, i produttori di  energia  elettrica  da  fonti  rinnovabili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titolari di impianti che beneficiano di incentivi sotto la  forma  di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certificati verdi,  tariffe  omnicomprensive  ovvero  tariffe  premio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possono, per i medesimi impianti, in misura alternativa: 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lastRenderedPageBreak/>
        <w:t xml:space="preserve">    a) continuare a godere del regime incentivante spettante  per  il</w:t>
      </w:r>
    </w:p>
    <w:p w:rsidR="004F465D" w:rsidRPr="00162D73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periodo di diritto residuo. </w:t>
      </w:r>
      <w:r w:rsidRPr="00162D73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In tal caso, per </w:t>
      </w:r>
      <w:proofErr w:type="spellStart"/>
      <w:r w:rsidRPr="00162D73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un</w:t>
      </w:r>
      <w:proofErr w:type="spellEnd"/>
      <w:r w:rsidRPr="00162D73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</w:t>
      </w:r>
      <w:proofErr w:type="spellStart"/>
      <w:r w:rsidRPr="00162D73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periodo</w:t>
      </w:r>
      <w:proofErr w:type="spellEnd"/>
      <w:r w:rsidRPr="00162D73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</w:t>
      </w:r>
      <w:proofErr w:type="spellStart"/>
      <w:r w:rsidRPr="00162D73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di</w:t>
      </w:r>
      <w:proofErr w:type="spellEnd"/>
      <w:r w:rsidRPr="00162D73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</w:t>
      </w:r>
      <w:proofErr w:type="spellStart"/>
      <w:r w:rsidRPr="00162D73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dieci</w:t>
      </w:r>
      <w:proofErr w:type="spellEnd"/>
      <w:r w:rsidRPr="00162D73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</w:t>
      </w:r>
      <w:proofErr w:type="spellStart"/>
      <w:proofErr w:type="gramStart"/>
      <w:r w:rsidRPr="00162D73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anni</w:t>
      </w:r>
      <w:proofErr w:type="spellEnd"/>
      <w:proofErr w:type="gramEnd"/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proofErr w:type="spellStart"/>
      <w:proofErr w:type="gramStart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decorrenti</w:t>
      </w:r>
      <w:proofErr w:type="spellEnd"/>
      <w:proofErr w:type="gramEnd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</w:t>
      </w:r>
      <w:proofErr w:type="spellStart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dal</w:t>
      </w:r>
      <w:proofErr w:type="spellEnd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termine </w:t>
      </w:r>
      <w:proofErr w:type="spellStart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del</w:t>
      </w:r>
      <w:proofErr w:type="spellEnd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periodo di diritto al regime incentivante,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interventi di qualunque tipo realizzati sullo stesso sito  non  hanno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diritto di  accesso  ad  ulteriori  strumenti  incentivanti,  incluso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ritiro dedicato e scambio sul posto, a  carico  dei  prezzi  o  delle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tariffe dell'energia elettrica; 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   b) optare per una rimodulazione dell'incentivo spettante, volta a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fr-FR" w:eastAsia="en-GB"/>
        </w:rPr>
        <w:t xml:space="preserve">valorizzare  l'intera  vita  utile  dell'impianto.  </w:t>
      </w: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In  tal  caso,  a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decorrere dal primo giorno del mese successivo al termine di  cui  al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comma  5,  il  produttore  accede  a  un  incentivo  ridotto  di  una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percentuale specifica per ciascuna tipologia  di  impianto,  definita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con decreto del Ministro dello sviluppo economico di concerto con  il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Ministro dell'ambiente e della tutela del territorio e del mare,  con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parere dell'Autorita' per l'energia elettrica  e  il  gas,  entro  60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giorni dall'entrata in vigore del presente decreto, da applicarsi per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un periodo  rinnovato  di  incentivazione  pari  al  periodo  residuo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dell'incentivazione spettante alla medesima data  incrementato  di  7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anni. La specifica percentuale di riduzione e' applicata: 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     1) per  gli  impianti  a  certificati  verdi,  al  coefficiente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moltiplicativo di cui alla tabella 2 allegata alla legge 24  dicembre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2007, n. 244; 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     2) per gli impianti a tariffa onnicomprensiva, al valore  della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tariffa spettante  al  netto  del  prezzo  di  cessione  dell'energia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elettrica definito dall'Autorita' per l'energia elettrica e il gas in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attuazione dell'articolo 13, comma  3,  del  decreto  legislativo  29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dicembre 2003, n. 387, registrato nell'anno precedente; 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lastRenderedPageBreak/>
        <w:t xml:space="preserve">      3) per gli impianti a tariffa  premio,  alla  medesima  tariffa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premio. 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 4. La riduzione di cui al comma 3, lettera b), viene  differenziata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in ragione del residuo periodo di incentivazione, del tipo  di  fonte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rinnovabile e dell'istituto incentivante, ed e'  determinata  tenendo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conto  dei  costi  indotti  dall'operazione  di  rimodulazione  degli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incentivi,  incluso  un  premio  adeguatamente  maggiorato  per   gli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impianti per i quali non sono previsti, per il periodo  successivo  a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quello di diritto al regime  incentivante,  incentivi  diversi  dallo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scambio sul posto e dal ritiro  dedicato  per  interventi  realizzati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sullo stesso sito. 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 5. L'opzione di cui al comma 3, lettera b), deve essere  esercitata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entro 90 giorni dalla data di entrata in vigore del decreto di cui al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medesimo comma 3, lettera  b),  mediante  richiesta  al  Gestore  dei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servizi energetici (Gse) resa con modalita' definite dallo stesso Gse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entro 15 giorni dalla medesima data. 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fr-F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 </w:t>
      </w: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fr-FR" w:eastAsia="en-GB"/>
        </w:rPr>
        <w:t xml:space="preserve">6. Le disposizioni di cui ai commi 3, 4 e 5 non si applicano: 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fr-FR" w:eastAsia="en-GB"/>
        </w:rPr>
        <w:t xml:space="preserve">    </w:t>
      </w: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a) agli impianti  incentivati  ai  sensi  del  provvedimento  del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Comitato interministeriale dei prezzi n. 6 del 29 aprile 1992; 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   b) agli impianti incentivati ai sensi del  decreto  del  Ministro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dello sviluppo economico 6 luglio  2012,  pubblicato  nella  Gazzetta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Ufficiale - serie generale - n. 159 del 10 luglio  2012,  supplemento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ordinario n. 143, fatta eccezione per  quelli  ricadenti  nel  regime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transitorio di cui all'articolo 30 dello stesso decreto. 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 7. All'articolo 6 del decreto legislativo 19 agosto 2005, n. 192, i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commi 3 e 3-bis sono sostituiti dal seguente: 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fr-F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 </w:t>
      </w: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fr-FR" w:eastAsia="en-GB"/>
        </w:rPr>
        <w:t>«3. Nei contratti  di  compravendita  immobiliare,  negli  atti  di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trasferimento di immobili a titolo oneroso e nei nuovi  contratti  di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lastRenderedPageBreak/>
        <w:t>locazione di edifici o  di  singole  unita'  immobiliari  soggetti  a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registrazione e' inserita apposita clausola con la quale l'acquirente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o il conduttore dichiarano di aver  ricevuto  le  informazioni  e  la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documentazione,   comprensiva   dell'attestato,   in   ordine    alla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attestazione  della  prestazione  energetica  degli  edifici;   copia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dell'attestato  di  prestazione  energetica  deve   essere   altresi'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allegata al contratto, tranne che nei casi di  locazione  di  singole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unita' immobiliari. In caso di omessa dichiarazione o allegazione, se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dovuta, le parti sono soggette al pagamento, in  solido  e  in  parti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uguali, della sanzione amministrativa pecuniaria da euro 3.000 a euro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18.000; la sanzione e' da euro 1.000 a euro 4.000 per i contratti  di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locazione di  singole  unita'  immobiliari  e,  se  la  durata  della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locazione non  eccede  i  tre  anni,  essa  e'  ridotta  alla  meta'.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L'accertamento e la contestazione della violazione sono svolti  dalla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Guardia di  Finanza  o,  all'atto  della  registrazione  di  uno  dei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contratti previsti dal presente comma, dall'Agenzia delle Entrate, ai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fini dell'ulteriore corso del  procedimento  sanzionatorio  ai  sensi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dell'articolo 17 della legge 24 novembre 1981, n. 689.». 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 8. Su richiesta di almeno una delle parti o di un suo avente causa,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la stessa sanzione amministrativa di cui al comma 3  dell'articolo  6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del decreto legislativo n.  192  del  2005  si  applica  altresi'  ai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fr-F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fr-FR" w:eastAsia="en-GB"/>
        </w:rPr>
        <w:t>richiedenti,  in  luogo  di  quella  della  nullita'  del   contratto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anteriormente prevista, per le violazioni del previgente comma  3-bis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dello stesso articolo 6 commesse anteriormente all'entrata in  vigore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del presente decreto, purche' la nullita' del contratto non sia  gia'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stata dichiarata con sentenza passata in giudicato. 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lastRenderedPageBreak/>
        <w:t xml:space="preserve">  9. La riforma della disciplina del condominio negli edifici, di cui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alla legge 11 dicembre 2012, n. 220, e' cosi' integrata: 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   a) con Regolamento del Ministro della giustizia, emanato ai sensi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dell'articolo 17, comma 3, della legge 23 agosto 1988, n.  400,  sono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determinati i  requisiti  necessari  per  esercitare  l'attivita'  di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formazione degli amministratori di condominio nonche'  i  criteri,  i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contenuti e le modalita' di svolgimento dei  corsi  della  formazione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iniziale e periodica  prevista  dall'articolo  71-bis,  primo  comma,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fr-F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fr-FR" w:eastAsia="en-GB"/>
        </w:rPr>
        <w:t>lettera g), delle disposizioni per l'attuazione  del  Codice  civile,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</w:pPr>
      <w:proofErr w:type="gramStart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>per</w:t>
      </w:r>
      <w:proofErr w:type="gramEnd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 xml:space="preserve"> come </w:t>
      </w:r>
      <w:proofErr w:type="spellStart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>modificato</w:t>
      </w:r>
      <w:proofErr w:type="spellEnd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 xml:space="preserve"> </w:t>
      </w:r>
      <w:proofErr w:type="spellStart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>dalla</w:t>
      </w:r>
      <w:proofErr w:type="spellEnd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 xml:space="preserve"> </w:t>
      </w:r>
      <w:proofErr w:type="spellStart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>legge</w:t>
      </w:r>
      <w:proofErr w:type="spellEnd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 xml:space="preserve"> 11 </w:t>
      </w:r>
      <w:proofErr w:type="spellStart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>dicembre</w:t>
      </w:r>
      <w:proofErr w:type="spellEnd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 xml:space="preserve"> 2012, n. 220; 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 xml:space="preserve">    </w:t>
      </w: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b) all'articolo 1120, secondo comma, n. 2, del Codice civile, per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fr-F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fr-FR" w:eastAsia="en-GB"/>
        </w:rPr>
        <w:t>come modificato dalla legge 11 dicembre 2012, n. 220,  le  parole  «,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per il  contenimento  del  consumo  energetico  degli  edifici»  sono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soppresse; 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   c) all'articolo 1130, primo comma, n. 6, del Codice  civile,  per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come modificato dalla legge 11 dicembre 2012, n. 220, dopo le parole: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«nonche' ogni  dato  relativo  alle  condizioni  di  sicurezza»  sono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fr-F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fr-FR" w:eastAsia="en-GB"/>
        </w:rPr>
        <w:t xml:space="preserve">inserite le seguenti: «delle parti comuni dell'edificio»; 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fr-FR" w:eastAsia="en-GB"/>
        </w:rPr>
        <w:t xml:space="preserve">    </w:t>
      </w: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d) all'articolo 1135, primo comma, n. 4, del Codice  civile,  per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come modificato dalla legge 11 dicembre 2012, n. 220, e' aggiunto, in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fine, il seguente periodo: «; se i lavori devono essere  eseguiti  in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base a un contratto che ne prevede il pagamento graduale in  funzione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del loro progressivo stato  di  avanzamento,  il  fondo  puo'  essere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costituito in relazione ai singoli pagamenti dovuti»; 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   e) all'articolo 70 delle disposizioni per l'attuazione del Codice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civile, per come modificato dalla legge 11  dicembre  2012,  n.  220,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dopo  le  parole:  «spese  ordinarie»  sono  aggiunte  le   seguenti: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«L'irrogazione della sanzione e'  deliberata  dall'assemblea  con  le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lastRenderedPageBreak/>
        <w:t xml:space="preserve">maggioranze di cui al secondo comma dell'articolo 1136 del Codice». 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 10. All'articolo 1 del decreto legislativo 11 febbraio 2010, n. 22,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dopo il comma 7 e' inserito il seguente: 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 «7-bis. Lo Stato esercita le funzioni di cui all'articolo 1,  comma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7, lettera i), della legge 23 agosto 2004, n. 239, e all'articolo 57,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comma 1, lettera f-bis), del decreto-legge n. 5 del 2012, nell'ambito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della  determinazione  degli  indirizzi  della  politica   energetica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nazionale,  al  fine  di  sostenere   lo   sviluppo   delle   risorse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geotermiche.». 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 11. L'articolo 11, comma 14, del decreto-legge 14  marzo  2005,  n.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35, convertito, con modificazioni, dalla legge 14 maggio 2005, n. 80,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e successive modificazioni, e' abrogato  e  cessa  l'efficacia  delle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disposizioni di cui al decreto del  Presidente  della  Repubblica  28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gennaio 1994, pubblicato nella Gazzetta  Ufficiale  della  Repubblica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italiana  9  marzo  1994,  n.  56,  relativamente  alla   concessione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integrata per la gestione della  miniera  di  carbone  del  Sulcis  e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produzione di energia  elettrica  e  cogenerazione  di  fluidi  caldi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mediante gassificazione e ai relativi meccanismi di incentivazione. 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 12. La Regione Autonoma della Sardegna, entro il 30 giugno 2016, ha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la  facolta'  di  bandire  una  gara  per  realizzare  una   centrale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termoelettrica a carbone, dotata di apposita sezione di impianto  per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la cattura e  lo  stoccaggio  dell'anidride  carbonica  prodotta,  da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realizzare sul territorio del Sulcis Iglesiente, in  prossimita'  del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giacimento carbonifero, assicurando la disponibilita'  delle  aree  e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delle  infrastrutture  necessarie.  Al  vincitore   della   gara   e'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assicurato l'acquisto da parte del  Gestore  dei  servizi  energetici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lastRenderedPageBreak/>
        <w:t>S.p.a.  dell'energia   elettrica   prodotta   e   immessa   in   rete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dall'impianto, dal primo al ventesimo anno di esercizio, al prezzo di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mercato maggiorato di un incentivo fino  a  30  Euro/MWh  sulla  base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della produzione di  energia  elettrica  con  funzionamento  a  piena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capacita' di cattura della  CO2  e  del  funzionamento  del  relativo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stoccaggio nonche' rivalutato sulla  base  dell'inflazione  calcolata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sull'indice Istat, per un massimo di 2100 GWh/anno. Il  rapporto  tra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l'ammontare complessivo di  tale  incentivo  e  il  costo  totale  di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investimento sostenuto dal vincitore della gara non deve superare  le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proporzioni consentite dalle norme comunitarie sugli aiuti di Stato e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nessun incentivo puo' essere concesso  prima  della  approvazione  da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parte della Commissione  europea.  In  caso  di  funzionamento  della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centrale termoelettrica in assenza di cattura e stoccaggio della CO2,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le emissioni di gas serra attribuite all'impianto  sono  incrementate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del 30%. 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 13. Gli oneri derivanti dall'attuazione del comma 12 sono a  carico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del sistema  elettrico  italiano  e  ad  essi  si  provvede  mediante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corrispondente prelievo sulle tariffe elettriche,  con  modalita'  di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esazione della relativa componente  tariffaria  basate  su  parametri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tecnici  rappresentanti  i  punti  di  connessione   alle   reti   di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distribuzione, definite dall'Autorita' per l'energia elettrica  e  il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gas con provvedimento da adottare entro novanta  giorni  dall'entrata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in vigore della presente legge. 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 14. Con decreto del Ministro dello sviluppo economico,  da  emanare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entro novanta giorni dalla data di entrata  in  vigore  del  presente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decreto, sono stabiliti gli elementi e i criteri per  la  valutazione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fr-F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fr-FR" w:eastAsia="en-GB"/>
        </w:rPr>
        <w:lastRenderedPageBreak/>
        <w:t>delle offerte della gara di cui al  comma  12  nonche'  le  modalita'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fr-F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fr-FR" w:eastAsia="en-GB"/>
        </w:rPr>
        <w:t>dell'audit esterno cui il vincitore della gara e'  tenuto  sottoporsi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fr-F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fr-FR" w:eastAsia="en-GB"/>
        </w:rPr>
        <w:t>per evitare sovra compensazioni. L'Autorita' per l'energia  elettrica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fr-F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fr-FR" w:eastAsia="en-GB"/>
        </w:rPr>
        <w:t>e il gas stabilisce le modalita' con cui le risorse di cui  al  comma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13 sono erogate dalla Cassa conguaglio per  il  settore  elettrico  a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copertura  del  fabbisogno  derivante  dal  pagamento  dell'incentivo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sull'energia acquistata dal Gestore dei servizi energetici S.p.a. 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 15. Al secondo periodo del comma 2  dell'articolo  33  del  decreto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legislativo 3 marzo 2011, n. 28, la parola: «5%» e' sostituita  dalla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seguente: «4,5%». Al terzo periodo del comma 2 dell'articolo  33  del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decreto legislativo 3  marzo  2011,  n.  28,  la  parola:  «2014»  e'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sostituita dalla  seguente:  «2020»  e  le  parole:  «e  puo'  essere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rideterminato  l'obiettivo  di  cui  al  periodo   precedente»   sono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soppresse. A decorrere dal 1° gennaio 2015 la  quota  minima  di  cui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all'articolo 2-quater, comma 1, del decreto-legge 10 gennaio 2006, n.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2, convertito, con modificazioni, dalla legge 11 marzo 2006,  n.  81,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come sostituito dall'articolo 1, comma 368, della legge  27  dicembre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2006, n. 296, e' determinata in una quota  percentuale  di  tutto  il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carburante, benzina e gasolio, immesso in consumo nello  stesso  anno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solare, calcolata sulla base del tenore energetico.  Entro  tre  mesi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dalla data di entrata in vigore della presente legge, con decreto  di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natura non  regolamentare  del  Ministro  dello  sviluppo  economico,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sentito  il  Comitato  tecnico  consultivo   biocarburanti   di   cui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all'articolo 33, comma 5-sexies del decreto legislativo 3 marzo 2011,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n. 28, si provvede ad  aggiornare  le  condizioni,  i  criteri  e  le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lastRenderedPageBreak/>
        <w:t>modalita' di attuazione dell'obbligo, ai sensi dell'articolo 1, comma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368, punto 3 della legge 27 dicembre 2006, n.  296.  Al  comma  5-ter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</w:pPr>
      <w:proofErr w:type="gramStart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dell'articolo</w:t>
      </w:r>
      <w:proofErr w:type="gramEnd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33 del decreto legislativo 3 marzo 2011,  n.  </w:t>
      </w: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 xml:space="preserve">28,  </w:t>
      </w:r>
      <w:proofErr w:type="spellStart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>sono</w:t>
      </w:r>
      <w:proofErr w:type="spellEnd"/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</w:pPr>
      <w:proofErr w:type="spellStart"/>
      <w:proofErr w:type="gramStart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>apportate</w:t>
      </w:r>
      <w:proofErr w:type="spellEnd"/>
      <w:proofErr w:type="gramEnd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 xml:space="preserve"> le </w:t>
      </w:r>
      <w:proofErr w:type="spellStart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>seguenti</w:t>
      </w:r>
      <w:proofErr w:type="spellEnd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 xml:space="preserve"> </w:t>
      </w:r>
      <w:proofErr w:type="spellStart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>modificazioni</w:t>
      </w:r>
      <w:proofErr w:type="spellEnd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 xml:space="preserve">: al secondo </w:t>
      </w:r>
      <w:proofErr w:type="spellStart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>punto</w:t>
      </w:r>
      <w:proofErr w:type="spellEnd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 xml:space="preserve"> </w:t>
      </w:r>
      <w:proofErr w:type="spellStart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>dell'elenco</w:t>
      </w:r>
      <w:proofErr w:type="spellEnd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 xml:space="preserve">  le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</w:pPr>
      <w:proofErr w:type="gramStart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>parole</w:t>
      </w:r>
      <w:proofErr w:type="gramEnd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>: «</w:t>
      </w:r>
      <w:proofErr w:type="spellStart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>condotta</w:t>
      </w:r>
      <w:proofErr w:type="spellEnd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 xml:space="preserve"> </w:t>
      </w:r>
      <w:proofErr w:type="spellStart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>all'interno</w:t>
      </w:r>
      <w:proofErr w:type="spellEnd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 xml:space="preserve"> </w:t>
      </w:r>
      <w:proofErr w:type="spellStart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>degli</w:t>
      </w:r>
      <w:proofErr w:type="spellEnd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 xml:space="preserve"> </w:t>
      </w:r>
      <w:proofErr w:type="spellStart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>stabilimenti</w:t>
      </w:r>
      <w:proofErr w:type="spellEnd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 xml:space="preserve">  di  </w:t>
      </w:r>
      <w:proofErr w:type="spellStart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>produzione</w:t>
      </w:r>
      <w:proofErr w:type="spellEnd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 xml:space="preserve">  del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</w:pPr>
      <w:proofErr w:type="gramStart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>biodiesel</w:t>
      </w:r>
      <w:proofErr w:type="gramEnd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 xml:space="preserve">» </w:t>
      </w:r>
      <w:proofErr w:type="spellStart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>sono</w:t>
      </w:r>
      <w:proofErr w:type="spellEnd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 xml:space="preserve"> </w:t>
      </w:r>
      <w:proofErr w:type="spellStart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>soppresse</w:t>
      </w:r>
      <w:proofErr w:type="spellEnd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 xml:space="preserve">; al  </w:t>
      </w:r>
      <w:proofErr w:type="spellStart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>terzo</w:t>
      </w:r>
      <w:proofErr w:type="spellEnd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 xml:space="preserve">  </w:t>
      </w:r>
      <w:proofErr w:type="spellStart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>punto</w:t>
      </w:r>
      <w:proofErr w:type="spellEnd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 xml:space="preserve">  </w:t>
      </w:r>
      <w:proofErr w:type="spellStart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>dell'elenco</w:t>
      </w:r>
      <w:proofErr w:type="spellEnd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 xml:space="preserve">  le  parole:</w:t>
      </w:r>
    </w:p>
    <w:p w:rsidR="004F465D" w:rsidRPr="00162D73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162D73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«durante </w:t>
      </w:r>
      <w:proofErr w:type="spellStart"/>
      <w:proofErr w:type="gramStart"/>
      <w:r w:rsidRPr="00162D73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il</w:t>
      </w:r>
      <w:proofErr w:type="spellEnd"/>
      <w:proofErr w:type="gramEnd"/>
      <w:r w:rsidRPr="00162D73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processo </w:t>
      </w:r>
      <w:proofErr w:type="spellStart"/>
      <w:r w:rsidRPr="00162D73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di</w:t>
      </w:r>
      <w:proofErr w:type="spellEnd"/>
      <w:r w:rsidRPr="00162D73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</w:t>
      </w:r>
      <w:proofErr w:type="spellStart"/>
      <w:r w:rsidRPr="00162D73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produzione</w:t>
      </w:r>
      <w:proofErr w:type="spellEnd"/>
      <w:r w:rsidRPr="00162D73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</w:t>
      </w:r>
      <w:proofErr w:type="spellStart"/>
      <w:r w:rsidRPr="00162D73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del</w:t>
      </w:r>
      <w:proofErr w:type="spellEnd"/>
      <w:r w:rsidRPr="00162D73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biodiesel» sono </w:t>
      </w:r>
      <w:proofErr w:type="spellStart"/>
      <w:r w:rsidRPr="00162D73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soppresse</w:t>
      </w:r>
      <w:proofErr w:type="spellEnd"/>
      <w:r w:rsidRPr="00162D73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;  al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proofErr w:type="gramStart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quarto</w:t>
      </w:r>
      <w:proofErr w:type="gramEnd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 </w:t>
      </w:r>
      <w:proofErr w:type="spellStart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punto</w:t>
      </w:r>
      <w:proofErr w:type="spellEnd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 </w:t>
      </w:r>
      <w:proofErr w:type="spellStart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dell'elenco</w:t>
      </w:r>
      <w:proofErr w:type="spellEnd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 </w:t>
      </w:r>
      <w:proofErr w:type="spellStart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le</w:t>
      </w:r>
      <w:proofErr w:type="spellEnd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 parole:   «condotta   nelle   aziende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oleochimiche» sono soppresse; al settimo punto  dell'elenco  dopo  le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parole: «grassi animali di categoria 1» sono inserite le seguenti: «e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di categoria 2». Al comma 5-quienquies dell'articolo 33  del  decreto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legislativo 3 marzo 2011, n. 28, e' aggiunto, in  fine,  il  seguente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periodo:  «A  decorrere  dall'anno  2014,  la  misura  massima  sopra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indicata e' pari al 40%. Con decreto di natura non regolamentare  del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Ministro  dello  sviluppo  economico,  sentito  il  Comitato  tecnico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consultivo biocarburanti di cui all'articolo 33, comma  5-sexies  del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decreto legislativo 3 marzo 2011, n. 28, si provvede ad aggiornare il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valore della misura massima sopra indicata.». 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 xml:space="preserve">  16. All'articolo 15, comma 5, del  decreto  legislativo  23  maggio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fr-F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fr-FR" w:eastAsia="en-GB"/>
        </w:rPr>
        <w:t>2000, n. 164, le parole: «con i criteri di cui alle  lettere  a  e  b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dell'articolo 24 del regio decreto 15 ottobre  1925,  n.  2578»  sono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sostituite dalle seguenti:  «con  le  modalita'  di  calcolo  di  cui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</w:pPr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val="pt-BR" w:eastAsia="en-GB"/>
        </w:rPr>
        <w:t>all'articolo 14 comma 8. In ogni caso dal rimborso di cui al presente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</w:pPr>
      <w:proofErr w:type="gramStart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>comma</w:t>
      </w:r>
      <w:proofErr w:type="gramEnd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 xml:space="preserve"> </w:t>
      </w:r>
      <w:proofErr w:type="spellStart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>sono</w:t>
      </w:r>
      <w:proofErr w:type="spellEnd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 xml:space="preserve"> </w:t>
      </w:r>
      <w:proofErr w:type="spellStart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>detratti</w:t>
      </w:r>
      <w:proofErr w:type="spellEnd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 xml:space="preserve"> </w:t>
      </w:r>
      <w:proofErr w:type="spellStart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>i</w:t>
      </w:r>
      <w:proofErr w:type="spellEnd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 xml:space="preserve">  </w:t>
      </w:r>
      <w:proofErr w:type="spellStart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>contributi</w:t>
      </w:r>
      <w:proofErr w:type="spellEnd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 xml:space="preserve">  </w:t>
      </w:r>
      <w:proofErr w:type="spellStart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>privati</w:t>
      </w:r>
      <w:proofErr w:type="spellEnd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 xml:space="preserve">  </w:t>
      </w:r>
      <w:proofErr w:type="spellStart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>relativi</w:t>
      </w:r>
      <w:proofErr w:type="spellEnd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 xml:space="preserve">  </w:t>
      </w:r>
      <w:proofErr w:type="spellStart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>ai</w:t>
      </w:r>
      <w:proofErr w:type="spellEnd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 xml:space="preserve">  </w:t>
      </w:r>
      <w:proofErr w:type="spellStart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>cespiti</w:t>
      </w:r>
      <w:proofErr w:type="spellEnd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 xml:space="preserve">  di</w:t>
      </w:r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</w:pPr>
      <w:proofErr w:type="spellStart"/>
      <w:proofErr w:type="gramStart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>localita</w:t>
      </w:r>
      <w:proofErr w:type="spellEnd"/>
      <w:proofErr w:type="gramEnd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 xml:space="preserve">',  </w:t>
      </w:r>
      <w:proofErr w:type="spellStart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>valutati</w:t>
      </w:r>
      <w:proofErr w:type="spellEnd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 xml:space="preserve">  secondo  la   </w:t>
      </w:r>
      <w:proofErr w:type="spellStart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>metodologia</w:t>
      </w:r>
      <w:proofErr w:type="spellEnd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 xml:space="preserve">   </w:t>
      </w:r>
      <w:proofErr w:type="spellStart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>della</w:t>
      </w:r>
      <w:proofErr w:type="spellEnd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 xml:space="preserve">   </w:t>
      </w:r>
      <w:proofErr w:type="spellStart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>regolazione</w:t>
      </w:r>
      <w:proofErr w:type="spellEnd"/>
    </w:p>
    <w:p w:rsidR="004F465D" w:rsidRPr="004F465D" w:rsidRDefault="004F465D" w:rsidP="004F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</w:pPr>
      <w:proofErr w:type="spellStart"/>
      <w:proofErr w:type="gramStart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>tariffaria</w:t>
      </w:r>
      <w:proofErr w:type="spellEnd"/>
      <w:proofErr w:type="gramEnd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 xml:space="preserve"> </w:t>
      </w:r>
      <w:proofErr w:type="spellStart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>vigente</w:t>
      </w:r>
      <w:proofErr w:type="spellEnd"/>
      <w:r w:rsidRPr="004F465D">
        <w:rPr>
          <w:rFonts w:ascii="Courier New" w:eastAsia="Times New Roman" w:hAnsi="Courier New" w:cs="Courier New"/>
          <w:color w:val="444444"/>
          <w:sz w:val="24"/>
          <w:szCs w:val="24"/>
          <w:lang w:eastAsia="en-GB"/>
        </w:rPr>
        <w:t xml:space="preserve">». </w:t>
      </w:r>
    </w:p>
    <w:p w:rsidR="004F465D" w:rsidRDefault="004F465D"/>
    <w:sectPr w:rsidR="004F4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F465D"/>
    <w:rsid w:val="00162D73"/>
    <w:rsid w:val="004F465D"/>
    <w:rsid w:val="00504FB0"/>
    <w:rsid w:val="00752D0E"/>
    <w:rsid w:val="0096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F465D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3"/>
      <w:szCs w:val="43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F46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4F46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465D"/>
    <w:rPr>
      <w:rFonts w:ascii="Times New Roman" w:eastAsia="Times New Roman" w:hAnsi="Times New Roman" w:cs="Times New Roman"/>
      <w:b/>
      <w:bCs/>
      <w:sz w:val="43"/>
      <w:szCs w:val="43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F465D"/>
    <w:rPr>
      <w:rFonts w:ascii="Times New Roman" w:eastAsia="Times New Roman" w:hAnsi="Times New Roman" w:cs="Times New Roman"/>
      <w:b/>
      <w:bCs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4F465D"/>
    <w:rPr>
      <w:rFonts w:ascii="Times New Roman" w:eastAsia="Times New Roman" w:hAnsi="Times New Roman" w:cs="Times New Roman"/>
      <w:b/>
      <w:bCs/>
      <w:sz w:val="29"/>
      <w:szCs w:val="29"/>
      <w:lang w:eastAsia="en-GB"/>
    </w:rPr>
  </w:style>
  <w:style w:type="character" w:customStyle="1" w:styleId="rosso2">
    <w:name w:val="rosso2"/>
    <w:basedOn w:val="DefaultParagraphFont"/>
    <w:rsid w:val="004F465D"/>
    <w:rPr>
      <w:b w:val="0"/>
      <w:bCs w:val="0"/>
      <w:color w:val="FF0000"/>
    </w:rPr>
  </w:style>
  <w:style w:type="character" w:customStyle="1" w:styleId="riferimento2">
    <w:name w:val="riferimento2"/>
    <w:basedOn w:val="DefaultParagraphFont"/>
    <w:rsid w:val="004F465D"/>
    <w:rPr>
      <w:color w:val="4A970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19920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5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E98ADA79.dotm</Template>
  <TotalTime>4</TotalTime>
  <Pages>10</Pages>
  <Words>2628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OECD</Company>
  <LinksUpToDate>false</LinksUpToDate>
  <CharactersWithSpaces>17577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Valéria</dc:creator>
  <cp:lastModifiedBy>SILVA Valéria</cp:lastModifiedBy>
  <cp:revision>3</cp:revision>
  <dcterms:created xsi:type="dcterms:W3CDTF">2015-03-16T09:23:00Z</dcterms:created>
  <dcterms:modified xsi:type="dcterms:W3CDTF">2015-03-17T14:03:00Z</dcterms:modified>
</cp:coreProperties>
</file>